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B1" w:rsidRDefault="00331052">
      <w:pPr>
        <w:framePr w:h="3019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"F:\\Стратегия\\Судпрактика\\media\\image1.png"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1pt;height:150.9pt">
            <v:imagedata r:id="rId6" r:href="rId7"/>
          </v:shape>
        </w:pict>
      </w:r>
      <w:r>
        <w:fldChar w:fldCharType="end"/>
      </w:r>
    </w:p>
    <w:p w:rsidR="00AD7FB1" w:rsidRDefault="00AD7FB1">
      <w:pPr>
        <w:rPr>
          <w:sz w:val="2"/>
          <w:szCs w:val="2"/>
        </w:rPr>
      </w:pPr>
    </w:p>
    <w:p w:rsidR="00AD7FB1" w:rsidRDefault="00331052">
      <w:pPr>
        <w:pStyle w:val="30"/>
        <w:shd w:val="clear" w:color="auto" w:fill="auto"/>
        <w:spacing w:before="636" w:after="29" w:line="420" w:lineRule="exact"/>
        <w:ind w:left="40"/>
      </w:pPr>
      <w:r>
        <w:rPr>
          <w:rStyle w:val="31"/>
          <w:b/>
          <w:bCs/>
        </w:rPr>
        <w:t>верховный суд</w:t>
      </w:r>
    </w:p>
    <w:p w:rsidR="00AD7FB1" w:rsidRDefault="00331052">
      <w:pPr>
        <w:pStyle w:val="10"/>
        <w:keepNext/>
        <w:keepLines/>
        <w:shd w:val="clear" w:color="auto" w:fill="auto"/>
        <w:spacing w:before="0" w:after="685" w:line="420" w:lineRule="exact"/>
        <w:ind w:left="40"/>
      </w:pPr>
      <w:bookmarkStart w:id="0" w:name="bookmark0"/>
      <w:r>
        <w:t>РОССИЙСКОЙ ФЕДЕРАЦИИ</w:t>
      </w:r>
      <w:bookmarkStart w:id="1" w:name="_GoBack"/>
      <w:bookmarkEnd w:id="0"/>
      <w:bookmarkEnd w:id="1"/>
    </w:p>
    <w:p w:rsidR="00AD7FB1" w:rsidRDefault="00331052">
      <w:pPr>
        <w:pStyle w:val="20"/>
        <w:shd w:val="clear" w:color="auto" w:fill="auto"/>
        <w:spacing w:before="0" w:after="454" w:line="260" w:lineRule="exact"/>
      </w:pPr>
      <w:r>
        <w:t>Дело № 201-КГ17-3</w:t>
      </w:r>
    </w:p>
    <w:p w:rsidR="00AD7FB1" w:rsidRDefault="00331052">
      <w:pPr>
        <w:pStyle w:val="22"/>
        <w:keepNext/>
        <w:keepLines/>
        <w:shd w:val="clear" w:color="auto" w:fill="auto"/>
        <w:spacing w:before="0" w:after="457" w:line="360" w:lineRule="exact"/>
        <w:ind w:left="40"/>
      </w:pPr>
      <w:bookmarkStart w:id="2" w:name="bookmark1"/>
      <w:r>
        <w:t>ОПРЕДЕЛЕНИЕ</w:t>
      </w:r>
      <w:bookmarkEnd w:id="2"/>
    </w:p>
    <w:p w:rsidR="00AD7FB1" w:rsidRDefault="00331052">
      <w:pPr>
        <w:pStyle w:val="20"/>
        <w:shd w:val="clear" w:color="auto" w:fill="auto"/>
        <w:tabs>
          <w:tab w:val="left" w:pos="6740"/>
        </w:tabs>
        <w:spacing w:before="0" w:after="313" w:line="260" w:lineRule="exact"/>
        <w:ind w:left="260"/>
        <w:jc w:val="both"/>
      </w:pPr>
      <w:r>
        <w:t>г. Москва</w:t>
      </w:r>
      <w:r>
        <w:tab/>
        <w:t>16 февраля 2017 г.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Судебная коллегия по делам военнослужащих Верховного Суда Российской </w:t>
      </w:r>
      <w:r>
        <w:t>Федерации в составе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left="740" w:right="3660"/>
        <w:jc w:val="left"/>
      </w:pPr>
      <w:proofErr w:type="gramStart"/>
      <w:r>
        <w:t>председательствующего</w:t>
      </w:r>
      <w:proofErr w:type="gramEnd"/>
      <w:r>
        <w:t xml:space="preserve"> Крупнова И.В., судей Воронова А.В., </w:t>
      </w:r>
      <w:proofErr w:type="spellStart"/>
      <w:r>
        <w:t>Дербилова</w:t>
      </w:r>
      <w:proofErr w:type="spellEnd"/>
      <w:r>
        <w:t xml:space="preserve"> О.А.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при секретаре </w:t>
      </w:r>
      <w:proofErr w:type="spellStart"/>
      <w:r>
        <w:t>Жиленковой</w:t>
      </w:r>
      <w:proofErr w:type="spellEnd"/>
      <w:r>
        <w:t xml:space="preserve"> Т.С. рассмотрела в открытом судебном заседании дело по кассационной жалобе старшего лейтенанта запаса Яшина Андрея Алексеевича на </w:t>
      </w:r>
      <w:r>
        <w:t>определение Московского гарнизонного военного суда от 26 февраля 2016 г. и апелляционное определение Московского окружного военного суда от 9 июня 2016 г. по заявлениям представителя войсковой части 25953 о выдаче дубликатов исполнительных листов в отношен</w:t>
      </w:r>
      <w:r>
        <w:t>ии Яшина Андрея Алексеевича, Гребченко Игоря Васильевича, Кулешова Дмитрия Александровича и восстановлении сроков их предъявления к исполнению.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  <w:sectPr w:rsidR="00AD7FB1">
          <w:headerReference w:type="default" r:id="rId8"/>
          <w:pgSz w:w="11900" w:h="16840"/>
          <w:pgMar w:top="374" w:right="967" w:bottom="374" w:left="1804" w:header="0" w:footer="3" w:gutter="0"/>
          <w:cols w:space="720"/>
          <w:noEndnote/>
          <w:docGrid w:linePitch="360"/>
        </w:sectPr>
      </w:pPr>
      <w:r>
        <w:t>Заслушав доклад судьи Верховного Суда Российской Федерации Воронова А.В., изложившего обсто</w:t>
      </w:r>
      <w:r>
        <w:t xml:space="preserve">ятельства дела, содержание судебных постановлений, принятых по делу, доводы кассационной жалобы, объяснения истца Яшина А.А., его представителя </w:t>
      </w:r>
      <w:proofErr w:type="spellStart"/>
      <w:r>
        <w:t>Стребкова</w:t>
      </w:r>
      <w:proofErr w:type="spellEnd"/>
      <w:r>
        <w:t xml:space="preserve"> М.М. и истца Кулешова Д.А., поддержавших доводы кассационной жалобы, выступление представителя команди</w:t>
      </w:r>
      <w:r>
        <w:t>ра войсковой части 25953 Соколовского А.М., просившего об оставлении кассационной жалобы без удовлетворения, Судебная коллегия по делам военнослужащих Верховного Суда Российской Федерации</w:t>
      </w:r>
    </w:p>
    <w:p w:rsidR="00AD7FB1" w:rsidRDefault="00331052">
      <w:pPr>
        <w:pStyle w:val="40"/>
        <w:shd w:val="clear" w:color="auto" w:fill="auto"/>
        <w:spacing w:after="253" w:line="280" w:lineRule="exact"/>
        <w:ind w:right="20"/>
      </w:pPr>
      <w:proofErr w:type="gramStart"/>
      <w:r>
        <w:lastRenderedPageBreak/>
        <w:t>установила</w:t>
      </w:r>
      <w:proofErr w:type="gramEnd"/>
      <w:r>
        <w:t>: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jc w:val="both"/>
      </w:pPr>
      <w:proofErr w:type="gramStart"/>
      <w:r>
        <w:t>определением</w:t>
      </w:r>
      <w:proofErr w:type="gramEnd"/>
      <w:r>
        <w:t xml:space="preserve"> Московского гарнизонного военного суда от 2</w:t>
      </w:r>
      <w:r>
        <w:t>6 февраля 2016 г., оставленным без изменения судом апелляционной инстанции, заявления представителя войсковой части 25953 удовлетворены частично. Суд определил выдать командиру войсковой части 25953 дубликаты исполнительных листов в отношении Яшина А.А., Г</w:t>
      </w:r>
      <w:r>
        <w:t xml:space="preserve">ребченко И.В. и Кулешова Д.А. по гражданскому делу №№ 02-2136/2002 - 02-2139/2002, выданных на основании определения Московского гарнизонного военного суда от 8 апреля 2004 г., которым произведен поворот исполнения решения этого же суда от 23 октября 2002 </w:t>
      </w:r>
      <w:r>
        <w:t>г.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Кроме того, придя к выводу о том, что срок предъявления к исполнению исполнительного листа в отношении Гребченко И.В. пропущен командиром войсковой части 25953 по уважительной причине, суд восстановил срок его предъявления к исполнению.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В удовлетворении</w:t>
      </w:r>
      <w:r>
        <w:t xml:space="preserve"> заявлений представителя командира войсковой части 25953 о восстановлении срока предъявления к исполнению исполнительных листов в отношении Яшина А.А. и Кулешова Д.А. отказано в связи с тем, что данный срок, по выводу суда, не был пропущен.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Определением су</w:t>
      </w:r>
      <w:r>
        <w:t>дьи Московского окружного военного суда от 22 июля 2016 г. в передаче кассационной жалобы Яшина А.А. для рассмотрения в судебном заседании суда кассационной инстанции отказано.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В жалобе, направленной в Верховный Суд Российской Федерации, Яшин А.А. просит о</w:t>
      </w:r>
      <w:r>
        <w:t>тменить состоявшиеся судебные постановления, считает, что суд нарушил нормы материального и процессуального права и вынес необоснованное определение.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Анализируя обстоятельства исполнительного производства по данному делу, Яшин А.А. указывает, что с момента</w:t>
      </w:r>
      <w:r>
        <w:t xml:space="preserve"> окончания исполнительных производств в 2004 году и в 2012 году до момента подачи заявлений о выдаче дубликатов исполнительного листа в 2009 году и 2014 году прошло более семи лет, а с момента поворота исполнения решения - более тринадцати лет, что, по его</w:t>
      </w:r>
      <w:r>
        <w:t xml:space="preserve"> мнению, свидетельствует о неправомерности решения о выдаче дубликата исполнительного листа.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Определением судьи Верховного Суда Российской Федерации от 6 октября 2016 г. в передаче кассационной жалобы для рассмотрения в судебном заседании суда кассационной</w:t>
      </w:r>
      <w:r>
        <w:t xml:space="preserve"> инстанции отказано.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Определением заместителя Председателя Верховного Суда Российской Федерации от 25 января 2017 г. определение судьи Верховного Суда Российской Федерации отменено, кассационная жалоба с делом передана для рассмотрения в судебном заседании</w:t>
      </w:r>
      <w:r>
        <w:t xml:space="preserve"> Судебной коллегии по делам военнослужащих Верховного Суда Российской Федерации.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Лица, участвующие в деле, о времени и месте рассмотрения жалобы в кассационном порядке извещены своевременно и в надлежащей форме.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Рассмотрев материалы административного дела,</w:t>
      </w:r>
      <w:r>
        <w:t xml:space="preserve"> обсудив доводы кассационной жалобы, Судебная коллегия по делам военнослужащих приходит к следующим выводам.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lastRenderedPageBreak/>
        <w:t>Основаниями для отмены или изменения судебных постановлений в кассационном порядке в силу ст. 387 ГПК РФ являются существенные нарушения норм матер</w:t>
      </w:r>
      <w:r>
        <w:t xml:space="preserve">иального права или норм процессуального права, которые повлияли на исход дела и без устранения которых невозможны восстановление и защита нарушенных прав, свобод и законных интересов, а также защита охраняемых законом публичных интересов. В соответствии с </w:t>
      </w:r>
      <w:r>
        <w:t>ч. 2 ст. 390 ГПК РФ в интересах законности суд кассационной инстанции вправе выйти за пределы доводов кассационной жалобы.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По делу установлено, что решением Московского гарнизонного военного суда от 23 октября 2002 г. в пользу Яшина А.А., Гребченко И.В., К</w:t>
      </w:r>
      <w:r>
        <w:t>улешова Д.А. взысканы выплаты на командировочные расходы за время нахождения в зоне Грузино-Абхазского вооруженного конфликта.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Определением президиума Московского окружного военного суда от 21 мая 2003 г. это решение отменено. По делу принято новое </w:t>
      </w:r>
      <w:r>
        <w:t>решение, которым в удовлетворении требований истцов отказано.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Определением Московского гарнизонного военного суда от 8 апреля 2004 г., вступившим в законную силу, произведен поворот исполнения решения Московского гарнизонного военного суда от 23 октября 20</w:t>
      </w:r>
      <w:r>
        <w:t>02 г. и на истцов возложена обязанность возвратить войсковой части 25953 перечисленные им денежные средства.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На основании этого определения 3 июня 2004 г. представителем командира войсковой части 25953 получены исполнительные листы: № 683 в отношении Яшина</w:t>
      </w:r>
      <w:r>
        <w:t xml:space="preserve"> А.А., </w:t>
      </w:r>
      <w:r>
        <w:rPr>
          <w:rStyle w:val="22pt"/>
        </w:rPr>
        <w:t>№681-</w:t>
      </w:r>
      <w:r>
        <w:t xml:space="preserve"> Гребченко И.В., № 684 - Кулешова Д.А.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С 2004 года, когда после поворота исполнения судебного решения было возбуждено исполнительное производство по возврату полученных истцами денежных средств, взыскателем указанные исполнительные листы неодно</w:t>
      </w:r>
      <w:r>
        <w:t>кратно предъявлялись к исполнению, а уполномоченными органами осуществлялись действия и принимались решения в рамках правоотношений, регулируемых Федеральным законом «Об исполнительном производстве», об окончании исполнительного производства по основаниям,</w:t>
      </w:r>
      <w:r>
        <w:t xml:space="preserve"> не связанным с исполнением судебного акта, либо об отказе в возбуждении исполнительного производства.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Кроме того, определениями Московского гарнизонного военного суда от 4 и 25 мая 2009 г. взыскателю выдавались дубликаты исполнительных листов в отношении </w:t>
      </w:r>
      <w:r>
        <w:t>Яшина А.А. и Гребченко И.В., а также восстанавливался срок их предъявления к исполнению.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В последний раз исполнительные производства по исполнительным документам в отношении Яшина А.А. и Кулешова Д.А. были окончены 30 мая 2012 г. и 19 декабря 2011 г. соотв</w:t>
      </w:r>
      <w:r>
        <w:t xml:space="preserve">етственно, а в возбуждении исполнительного производства по исполнительному документу в отношении Гребченко И.В. постановлением судебного пристава- исполнителя от 3 марта 2011 г. отказано в связи с предъявлением исполнительного листа не по месту совершения </w:t>
      </w:r>
      <w:r>
        <w:t>исполнительных действий.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После этого заявления о выдаче дубликатов исполнительных листов в отношении Яшина А.А., Гребченко И.В. и Кулешова Д.А. поданы взыскателем в </w:t>
      </w:r>
      <w:r>
        <w:lastRenderedPageBreak/>
        <w:t>суд 18 декабря 2014 г.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Удовлетворяя данные заявления представителя войсковой части 25953, </w:t>
      </w:r>
      <w:r>
        <w:t>суд первой инстанции посчитал, что основания для выдачи дубликатов исполнительных листов имеются, взыскателем не пропущены сроки предъявления исполнительных документов в отношении Яшина А.А. и Кулешова Д.А. к исполнению, а срок предъявления исполнительного</w:t>
      </w:r>
      <w:r>
        <w:t xml:space="preserve"> документа в отношении Гребченко И.В. пропущен взыскателем по уважительным причинам, с чем согласился суд апелляционной инстанции.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Однако такие выводы судов основаны на неправильном применении норм процессуального права.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Согласно ч. 2 ст. 430 ГПК РФ заявле</w:t>
      </w:r>
      <w:r>
        <w:t>ние о выдаче дубликата исполнительного документа может быть подано в суд до истечения срока, установленного для предъявления исполнительного документа к исполнению, за исключением случаев, если исполнительный документ был утрачен судебным приставом-исполни</w:t>
      </w:r>
      <w:r>
        <w:t>телем или другим осуществляющим исполнение лицом и взыскателю стало об этом известно после истечения срока, установленного для предъявления исполнительного документа к исполнению.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В этих случаях заявление о выдаче дубликата исполнительного документа может </w:t>
      </w:r>
      <w:r>
        <w:t>быть подано в суд в течение месяца со дня, когда взыскателю стало известно об утрате исполнительного документа.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Из данной нормы следует, что выдача дубликата исполнительного листа корреспондирует возможности осуществления уполномоченными органами функций п</w:t>
      </w:r>
      <w:r>
        <w:t>о принудительному исполнению решения суда, в связи с чем отсутствие оснований для принудительного исполнения влечет за собой отказ в выдаче дубликата исполнительного листа.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В силу ч. 1 ст. 21, ч. 2 ст. 22 Федерального закона «Об исполнительном производстве</w:t>
      </w:r>
      <w:r>
        <w:t>» исполнительные листы, выдаваемые на основании судебных актов, могут быть предъявлены к исполнению в течение трех лет со дня вступления судебного акта в законную силу.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Срок предъявления исполнительного документа к исполнению прерывается предъявлением испо</w:t>
      </w:r>
      <w:r>
        <w:t>лнительного документа к исполнению, частичным исполнением исполнительного документа должником.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После перерыва течение срока предъявления исполнительного документа к исполнению возобновляется. Время, истекшее до прерывания срока, в новый срок не засчитывает</w:t>
      </w:r>
      <w:r>
        <w:t>ся.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Вместе с тем в соответствии с Постановлением Конституционного Суда Российской Федерации от 10 марта 2016 г. № 7-П признаны не соответствующими Конституции Российской Федерации, ее статьям 35 (часть 2), 46 (часть 1) и 55 (часть 3), положения ч. 1 ст. 21</w:t>
      </w:r>
      <w:r>
        <w:t>, ч. 2 ст. 22 и ч. 4 ст. 46 Федерального закона «Об исполнительном производстве» в той мере, в какой эти положения в их взаимосвязи позволяют - при неоднократном прерывании срока предъявления исполнительного документа к исполнению предъявлением исполнитель</w:t>
      </w:r>
      <w:r>
        <w:t xml:space="preserve">ного документа к исполнению с последующим возвращением взыскателю на основании его заявления - всякий раз исчислять течение этого срока заново с момента возвращения исполнительного документа по данному основанию взыскателю и </w:t>
      </w:r>
      <w:r>
        <w:lastRenderedPageBreak/>
        <w:t>продлевать его тем самым на нео</w:t>
      </w:r>
      <w:r>
        <w:t>пределенно длительное время.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Таким образом, при решении вопроса о возможности неоднократного прерывания срока предъявления исполнительного документа подлежат оценке действия взыскателя, которые не должны приводить к неопределенно длительному времени исполн</w:t>
      </w:r>
      <w:r>
        <w:t>ения судебного акта.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При обращении в суд с заявлениями о выдаче дубликатов исполнительных листов представитель взыскателя не ссылался на недобросовестные действия должников, связанные с уклонением от взыскания денежных средств, и таковые обстоятельства по </w:t>
      </w:r>
      <w:r>
        <w:t>делу не установлены.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Учитывая неоднократное прерывание срока предъявления исполнительных документов, длительность срока исполнения решения суда по данному делу более 13 лет, а также изложенную выше позицию Конституционного Суда Российской Федерации, выводы</w:t>
      </w:r>
      <w:r>
        <w:t xml:space="preserve"> судов первой и апелляционной инстанций о соблюдении взыскателем сроков предъявления исполнительных листов к исполнению, уважительности причин пропуска данного срока, а также о наличии оснований для выдачи дубликатов исполнительных листов, сделанные в обжа</w:t>
      </w:r>
      <w:r>
        <w:t>луемых судебных постановлениях, являются необоснованными.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Допущенные судами нарушения повлияли на исход дела и без их устранения невозможны восстановление и защита нарушенных прав, свобод и законных интересов истцов, что является основанием для отмены в ка</w:t>
      </w:r>
      <w:r>
        <w:t>ссационном порядке определения Московского гарнизонного военного суда от 26 февраля 2016 г. и апелляционного определения Московского окружного военного суда от 9 июня 2016 г. и принятия нового решения об отказе в удовлетворении заявлений представителя войс</w:t>
      </w:r>
      <w:r>
        <w:t>ковой части 25953 о выдаче дубликатов исполнительных листов в отношении Яшина А.А., Гребченко И.В., Кулешова Д.А. и восстановлении сроков их предъявления к исполнению.</w:t>
      </w:r>
    </w:p>
    <w:p w:rsidR="00AD7FB1" w:rsidRDefault="00331052">
      <w:pPr>
        <w:pStyle w:val="20"/>
        <w:shd w:val="clear" w:color="auto" w:fill="auto"/>
        <w:spacing w:before="0" w:after="333" w:line="322" w:lineRule="exact"/>
        <w:ind w:firstLine="740"/>
        <w:jc w:val="both"/>
      </w:pPr>
      <w:r>
        <w:t>На основании изложенного, руководствуясь ст. 387, 388, п. 5 ч. 1, ч.2 ст. 390 ГПК РФ, Су</w:t>
      </w:r>
      <w:r>
        <w:t>дебная коллегия по делам военнослужащих Верховного Суда Российской Федерации</w:t>
      </w:r>
    </w:p>
    <w:p w:rsidR="00AD7FB1" w:rsidRDefault="00331052">
      <w:pPr>
        <w:pStyle w:val="40"/>
        <w:shd w:val="clear" w:color="auto" w:fill="auto"/>
        <w:spacing w:after="313" w:line="280" w:lineRule="exact"/>
      </w:pPr>
      <w:proofErr w:type="gramStart"/>
      <w:r>
        <w:t>определила</w:t>
      </w:r>
      <w:proofErr w:type="gramEnd"/>
      <w:r>
        <w:t>: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jc w:val="both"/>
      </w:pPr>
      <w:proofErr w:type="gramStart"/>
      <w:r>
        <w:t>определение</w:t>
      </w:r>
      <w:proofErr w:type="gramEnd"/>
      <w:r>
        <w:t xml:space="preserve"> Московского гарнизонного военного суда от 26 февраля 2016 г. и апелляционное определение Московского окружного военного суда от 9 июня 2016 г. по </w:t>
      </w:r>
      <w:r>
        <w:t>заявлениям представителя войсковой части 25953 о выдаче дубликатов исполнительных листов в отношении Яшина Андрея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jc w:val="both"/>
      </w:pPr>
      <w:r>
        <w:t>Алексеевича, Гребченко Игоря Васильевича, Кулешова Дмитрия Александровича по гражданскому делу №№ 02-2136/2002 - 02-2139/2002 и восстановлении</w:t>
      </w:r>
      <w:r>
        <w:t xml:space="preserve"> сроков их предъявления к исполнению отменить.</w:t>
      </w:r>
    </w:p>
    <w:p w:rsidR="00AD7FB1" w:rsidRDefault="00331052">
      <w:pPr>
        <w:pStyle w:val="20"/>
        <w:shd w:val="clear" w:color="auto" w:fill="auto"/>
        <w:spacing w:before="0" w:after="0" w:line="322" w:lineRule="exact"/>
        <w:ind w:firstLine="720"/>
        <w:jc w:val="both"/>
      </w:pPr>
      <w:r>
        <w:t>В удовлетворении заявлений представителя войсковой части 25953 о выдаче дубликатов исполнительных листов и восстановлении сроков их предъявления к исполнению отказать.</w:t>
      </w:r>
    </w:p>
    <w:p w:rsidR="00AD7FB1" w:rsidRDefault="00331052">
      <w:pPr>
        <w:framePr w:h="5458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"F:\\Стратегия\\Судпракт</w:instrText>
      </w:r>
      <w:r>
        <w:instrText>ика\\media\\image2.png"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388.8pt;height:273pt">
            <v:imagedata r:id="rId9" r:href="rId10"/>
          </v:shape>
        </w:pict>
      </w:r>
      <w:r>
        <w:fldChar w:fldCharType="end"/>
      </w:r>
    </w:p>
    <w:p w:rsidR="00AD7FB1" w:rsidRDefault="00AD7FB1">
      <w:pPr>
        <w:rPr>
          <w:sz w:val="2"/>
          <w:szCs w:val="2"/>
        </w:rPr>
      </w:pPr>
    </w:p>
    <w:p w:rsidR="00AD7FB1" w:rsidRDefault="00AD7FB1">
      <w:pPr>
        <w:rPr>
          <w:sz w:val="2"/>
          <w:szCs w:val="2"/>
        </w:rPr>
      </w:pPr>
    </w:p>
    <w:sectPr w:rsidR="00AD7FB1">
      <w:pgSz w:w="11900" w:h="16840"/>
      <w:pgMar w:top="1326" w:right="1184" w:bottom="857" w:left="15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31052">
      <w:r>
        <w:separator/>
      </w:r>
    </w:p>
  </w:endnote>
  <w:endnote w:type="continuationSeparator" w:id="0">
    <w:p w:rsidR="00000000" w:rsidRDefault="0033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FB1" w:rsidRDefault="00AD7FB1"/>
  </w:footnote>
  <w:footnote w:type="continuationSeparator" w:id="0">
    <w:p w:rsidR="00AD7FB1" w:rsidRDefault="00AD7F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19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588"/>
      <w:gridCol w:w="2508"/>
      <w:gridCol w:w="3516"/>
    </w:tblGrid>
    <w:tr w:rsidR="00F93728" w:rsidRPr="00F93728" w:rsidTr="00331052">
      <w:tblPrEx>
        <w:tblCellMar>
          <w:top w:w="0" w:type="dxa"/>
          <w:bottom w:w="0" w:type="dxa"/>
        </w:tblCellMar>
      </w:tblPrEx>
      <w:trPr>
        <w:trHeight w:hRule="exact" w:val="1276"/>
        <w:tblCellSpacing w:w="5" w:type="nil"/>
      </w:trPr>
      <w:tc>
        <w:tcPr>
          <w:tcW w:w="186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3728" w:rsidRPr="00F93728" w:rsidRDefault="00F93728" w:rsidP="00F93728">
          <w:pPr>
            <w:widowControl/>
            <w:rPr>
              <w:rFonts w:ascii="Tahoma" w:eastAsia="Times New Roman" w:hAnsi="Tahoma" w:cs="Tahoma"/>
              <w:bCs/>
              <w:i/>
              <w:color w:val="auto"/>
              <w:sz w:val="16"/>
              <w:szCs w:val="16"/>
              <w:lang w:bidi="ar-SA"/>
            </w:rPr>
          </w:pPr>
          <w:r w:rsidRPr="00F93728">
            <w:rPr>
              <w:rFonts w:ascii="Tahoma" w:eastAsia="Times New Roman" w:hAnsi="Tahoma" w:cs="Tahoma"/>
              <w:bCs/>
              <w:i/>
              <w:color w:val="auto"/>
              <w:sz w:val="16"/>
              <w:szCs w:val="16"/>
              <w:lang w:bidi="ar-SA"/>
            </w:rPr>
            <w:t>«Формируем правоприменительную практику!»</w:t>
          </w:r>
        </w:p>
        <w:p w:rsidR="00F93728" w:rsidRPr="00F93728" w:rsidRDefault="00F93728" w:rsidP="00F93728">
          <w:pPr>
            <w:widowControl/>
            <w:rPr>
              <w:rFonts w:ascii="Tahoma" w:eastAsia="Times New Roman" w:hAnsi="Tahoma" w:cs="Tahoma"/>
              <w:i/>
              <w:color w:val="auto"/>
              <w:sz w:val="16"/>
              <w:szCs w:val="16"/>
              <w:lang w:bidi="ar-SA"/>
            </w:rPr>
          </w:pPr>
          <w:r w:rsidRPr="00F93728">
            <w:rPr>
              <w:rFonts w:ascii="Tahoma" w:eastAsia="Times New Roman" w:hAnsi="Tahoma" w:cs="Tahoma"/>
              <w:b/>
              <w:bCs/>
              <w:i/>
              <w:color w:val="333399"/>
              <w:sz w:val="28"/>
              <w:szCs w:val="28"/>
              <w:lang w:bidi="ar-SA"/>
            </w:rPr>
            <w:t>ЮК «Стратегия»</w:t>
          </w:r>
          <w:r w:rsidRPr="00F93728">
            <w:rPr>
              <w:rFonts w:ascii="Tahoma" w:eastAsia="Times New Roman" w:hAnsi="Tahoma" w:cs="Tahoma"/>
              <w:b/>
              <w:bCs/>
              <w:i/>
              <w:color w:val="auto"/>
              <w:sz w:val="16"/>
              <w:szCs w:val="16"/>
              <w:lang w:bidi="ar-SA"/>
            </w:rPr>
            <w:br/>
          </w:r>
        </w:p>
      </w:tc>
      <w:tc>
        <w:tcPr>
          <w:tcW w:w="130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3728" w:rsidRPr="00F93728" w:rsidRDefault="00F93728" w:rsidP="00F93728">
          <w:pPr>
            <w:widowControl/>
            <w:ind w:left="-323" w:firstLine="2"/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  <w:u w:val="single"/>
              <w:lang w:bidi="ar-SA"/>
            </w:rPr>
          </w:pPr>
          <w:hyperlink r:id="rId1" w:history="1">
            <w:r w:rsidRPr="00F9372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http://www.</w:t>
            </w:r>
            <w:proofErr w:type="spellStart"/>
            <w:r w:rsidRPr="00F9372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bidi="ar-SA"/>
              </w:rPr>
              <w:t>voensud</w:t>
            </w:r>
            <w:proofErr w:type="spellEnd"/>
            <w:r w:rsidRPr="00F9372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-</w:t>
            </w:r>
            <w:proofErr w:type="spellStart"/>
            <w:r w:rsidRPr="00F9372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bidi="ar-SA"/>
              </w:rPr>
              <w:t>mo</w:t>
            </w:r>
            <w:proofErr w:type="spellEnd"/>
            <w:r w:rsidRPr="00F9372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.</w:t>
            </w:r>
            <w:proofErr w:type="spellStart"/>
            <w:r w:rsidRPr="00F9372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ru</w:t>
            </w:r>
            <w:proofErr w:type="spellEnd"/>
            <w:r w:rsidRPr="00F9372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/</w:t>
            </w:r>
          </w:hyperlink>
        </w:p>
        <w:p w:rsidR="00F93728" w:rsidRPr="00F93728" w:rsidRDefault="00F93728" w:rsidP="00F93728">
          <w:pPr>
            <w:widowControl/>
            <w:ind w:left="-323" w:firstLine="2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bidi="ar-SA"/>
            </w:rPr>
          </w:pPr>
          <w:r w:rsidRPr="00F93728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bidi="ar-SA"/>
            </w:rPr>
            <w:t xml:space="preserve">e-mail: </w:t>
          </w:r>
          <w:hyperlink r:id="rId2" w:history="1">
            <w:r w:rsidRPr="00F9372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bidi="ar-SA"/>
              </w:rPr>
              <w:t>sud-mo@yandex.ru</w:t>
            </w:r>
          </w:hyperlink>
        </w:p>
        <w:p w:rsidR="00F93728" w:rsidRPr="00F93728" w:rsidRDefault="00F93728" w:rsidP="00F93728">
          <w:pPr>
            <w:autoSpaceDE w:val="0"/>
            <w:autoSpaceDN w:val="0"/>
            <w:adjustRightInd w:val="0"/>
            <w:ind w:left="-494" w:firstLine="173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val="en-US" w:bidi="ar-SA"/>
            </w:rPr>
          </w:pPr>
        </w:p>
      </w:tc>
      <w:tc>
        <w:tcPr>
          <w:tcW w:w="182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3728" w:rsidRPr="00F93728" w:rsidRDefault="00F93728" w:rsidP="00F93728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</w:pPr>
          <w:r w:rsidRPr="00F93728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bidi="ar-SA"/>
            </w:rPr>
            <w:t xml:space="preserve">+7-925-055-82-55 </w:t>
          </w:r>
          <w:r w:rsidRPr="00F93728"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  <w:t>(Мегафон Москва)</w:t>
          </w:r>
        </w:p>
        <w:p w:rsidR="00F93728" w:rsidRPr="00F93728" w:rsidRDefault="00F93728" w:rsidP="00F93728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</w:pPr>
          <w:r w:rsidRPr="00F93728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bidi="ar-SA"/>
            </w:rPr>
            <w:t xml:space="preserve">+7-915-010-94-77 </w:t>
          </w:r>
          <w:r w:rsidRPr="00F93728"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  <w:t>(МТС Москва)</w:t>
          </w:r>
        </w:p>
        <w:p w:rsidR="00F93728" w:rsidRPr="00F93728" w:rsidRDefault="00F93728" w:rsidP="00F93728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</w:pPr>
          <w:r w:rsidRPr="00F93728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bidi="ar-SA"/>
            </w:rPr>
            <w:t xml:space="preserve">+7-905-794-38-50 </w:t>
          </w:r>
          <w:r w:rsidRPr="00F93728"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  <w:t>(Билайн Москва)</w:t>
          </w:r>
        </w:p>
      </w:tc>
    </w:tr>
  </w:tbl>
  <w:p w:rsidR="00F93728" w:rsidRPr="00F93728" w:rsidRDefault="00F93728" w:rsidP="00F937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7FB1"/>
    <w:rsid w:val="00331052"/>
    <w:rsid w:val="00AD7FB1"/>
    <w:rsid w:val="00F9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15CA38E-1177-4063-B6B4-1D56B0E9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5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54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10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w w:val="15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937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3728"/>
    <w:rPr>
      <w:color w:val="000000"/>
    </w:rPr>
  </w:style>
  <w:style w:type="paragraph" w:styleId="a6">
    <w:name w:val="footer"/>
    <w:basedOn w:val="a"/>
    <w:link w:val="a7"/>
    <w:uiPriority w:val="99"/>
    <w:unhideWhenUsed/>
    <w:rsid w:val="00F937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37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1872</Words>
  <Characters>10673</Characters>
  <Application>Microsoft Office Word</Application>
  <DocSecurity>0</DocSecurity>
  <Lines>88</Lines>
  <Paragraphs>25</Paragraphs>
  <ScaleCrop>false</ScaleCrop>
  <Company/>
  <LinksUpToDate>false</LinksUpToDate>
  <CharactersWithSpaces>12520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2017-08-23T18:26:00Z</dcterms:created>
  <dcterms:modified xsi:type="dcterms:W3CDTF">2017-08-23T18:28:00Z</dcterms:modified>
</cp:coreProperties>
</file>